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RINGKASAN PERTEMUAN</w:t>
      </w:r>
    </w:p>
    <w:p>
      <w:pPr>
        <w:pStyle w:val="Subtitle"/>
      </w:pPr>
      <w:r>
        <w:t>DEMO REKAAN — Uji Coba Inventaris</w:t>
      </w:r>
    </w:p>
    <w:tbl>
      <w:tblPr>
        <w:tblW w:type="auto" w:w="0"/>
        <w:tblLayout w:type="fixed"/>
        <w:tblLook w:firstColumn="1" w:firstRow="1" w:lastColumn="0" w:lastRow="0" w:noHBand="0" w:noVBand="1" w:val="04A0"/>
        <w:tblBorders>
          <w:top w:val="single" w:sz="4" w:color="D3DDE0"/>
          <w:left w:val="single" w:sz="4" w:color="D3DDE0"/>
          <w:bottom w:val="single" w:sz="4" w:color="D3DDE0"/>
          <w:right w:val="single" w:sz="4" w:color="D3DDE0"/>
          <w:insideH w:val="single" w:sz="4" w:color="D3DDE0"/>
          <w:insideV w:val="single" w:sz="4" w:color="D3DDE0"/>
        </w:tblBorders>
      </w:tblPr>
      <w:tblGrid>
        <w:gridCol w:w="2268"/>
        <w:gridCol w:w="7370"/>
      </w:tblGrid>
      <w:tr>
        <w:trPr>
          <w:cantSplit/>
        </w:trPr>
        <w:tc>
          <w:tcPr>
            <w:tcW w:type="dxa" w:w="2268"/>
            <w:shd w:fill="FFFFFF"/>
            <w:tcMar>
              <w:top w:w="80" w:type="dxa"/>
              <w:bottom w:w="80" w:type="dxa"/>
              <w:left w:w="80" w:type="dxa"/>
              <w:right w:w="80" w:type="dxa"/>
            </w:tcMar>
          </w:tcPr>
          <w:p>
            <w:pPr>
              <w:keepNext w:val="0"/>
              <w:spacing w:after="60"/>
            </w:pPr>
            <w:r>
              <w:rPr>
                <w:rFonts w:ascii="Calibri" w:hAnsi="Calibri"/>
                <w:b w:val="0"/>
                <w:color w:val="000000"/>
                <w:sz w:val="20"/>
              </w:rPr>
              <w:t>Sumber</w:t>
            </w:r>
          </w:p>
        </w:tc>
        <w:tc>
          <w:tcPr>
            <w:tcW w:type="dxa" w:w="7370"/>
            <w:shd w:fill="FFFFFF"/>
            <w:tcMar>
              <w:top w:w="80" w:type="dxa"/>
              <w:bottom w:w="80" w:type="dxa"/>
              <w:left w:w="80" w:type="dxa"/>
              <w:right w:w="80" w:type="dxa"/>
            </w:tcMar>
          </w:tcPr>
          <w:p>
            <w:pPr>
              <w:keepNext w:val="0"/>
              <w:spacing w:after="60"/>
            </w:pPr>
            <w:r>
              <w:rPr>
                <w:rFonts w:ascii="Calibri" w:hAnsi="Calibri"/>
                <w:b w:val="0"/>
                <w:color w:val="000000"/>
                <w:sz w:val="20"/>
              </w:rPr>
              <w:t>transkrip-demo-rekaan.txt</w:t>
            </w:r>
          </w:p>
        </w:tc>
      </w:tr>
      <w:tr>
        <w:trPr>
          <w:cantSplit/>
        </w:trPr>
        <w:tc>
          <w:tcPr>
            <w:tcW w:type="dxa" w:w="2268"/>
            <w:shd w:fill="EEF3F8"/>
            <w:tcMar>
              <w:top w:w="80" w:type="dxa"/>
              <w:bottom w:w="80" w:type="dxa"/>
              <w:left w:w="80" w:type="dxa"/>
              <w:right w:w="80" w:type="dxa"/>
            </w:tcMar>
          </w:tcPr>
          <w:p>
            <w:pPr>
              <w:keepNext w:val="0"/>
              <w:spacing w:after="60"/>
            </w:pPr>
            <w:r>
              <w:rPr>
                <w:rFonts w:ascii="Calibri" w:hAnsi="Calibri"/>
                <w:b w:val="0"/>
                <w:color w:val="000000"/>
                <w:sz w:val="20"/>
              </w:rPr>
              <w:t>Tanggal pertemuan</w:t>
            </w:r>
          </w:p>
        </w:tc>
        <w:tc>
          <w:tcPr>
            <w:tcW w:type="dxa" w:w="7370"/>
            <w:shd w:fill="EEF3F8"/>
            <w:tcMar>
              <w:top w:w="80" w:type="dxa"/>
              <w:bottom w:w="80" w:type="dxa"/>
              <w:left w:w="80" w:type="dxa"/>
              <w:right w:w="80" w:type="dxa"/>
            </w:tcMar>
          </w:tcPr>
          <w:p>
            <w:pPr>
              <w:keepNext w:val="0"/>
              <w:spacing w:after="60"/>
            </w:pPr>
            <w:r>
              <w:rPr>
                <w:rFonts w:ascii="Calibri" w:hAnsi="Calibri"/>
                <w:b w:val="0"/>
                <w:color w:val="000000"/>
                <w:sz w:val="20"/>
              </w:rPr>
              <w:t>2 November 2026 (tanggal dalam skenario demonstrasi rekaan).</w:t>
            </w:r>
          </w:p>
        </w:tc>
      </w:tr>
      <w:tr>
        <w:trPr>
          <w:cantSplit/>
        </w:trPr>
        <w:tc>
          <w:tcPr>
            <w:tcW w:type="dxa" w:w="2268"/>
            <w:shd w:fill="FFFFFF"/>
            <w:tcMar>
              <w:top w:w="80" w:type="dxa"/>
              <w:bottom w:w="80" w:type="dxa"/>
              <w:left w:w="80" w:type="dxa"/>
              <w:right w:w="80" w:type="dxa"/>
            </w:tcMar>
          </w:tcPr>
          <w:p>
            <w:pPr>
              <w:keepNext w:val="0"/>
              <w:spacing w:after="60"/>
            </w:pPr>
            <w:r>
              <w:rPr>
                <w:rFonts w:ascii="Calibri" w:hAnsi="Calibri"/>
                <w:b w:val="0"/>
                <w:color w:val="000000"/>
                <w:sz w:val="20"/>
              </w:rPr>
              <w:t>Status pemeriksaan</w:t>
            </w:r>
          </w:p>
        </w:tc>
        <w:tc>
          <w:tcPr>
            <w:tcW w:type="dxa" w:w="7370"/>
            <w:shd w:fill="FFFFFF"/>
            <w:tcMar>
              <w:top w:w="80" w:type="dxa"/>
              <w:bottom w:w="80" w:type="dxa"/>
              <w:left w:w="80" w:type="dxa"/>
              <w:right w:w="80" w:type="dxa"/>
            </w:tcMar>
          </w:tcPr>
          <w:p>
            <w:pPr>
              <w:keepNext w:val="0"/>
              <w:spacing w:after="60"/>
            </w:pPr>
            <w:r>
              <w:rPr>
                <w:rFonts w:ascii="Calibri" w:hAnsi="Calibri"/>
                <w:b w:val="0"/>
                <w:color w:val="000000"/>
                <w:sz w:val="20"/>
              </w:rPr>
              <w:t>Diperiksa otomatis terhadap transkrip</w:t>
            </w:r>
          </w:p>
        </w:tc>
      </w:tr>
    </w:tbl>
    <w:p/>
    <w:p>
      <w:pPr>
        <w:pStyle w:val="Heading1"/>
        <w:pBdr>
          <w:bottom w:val="single" w:color="1F3864" w:sz="8" w:space="2"/>
        </w:pBdr>
      </w:pPr>
      <w:r>
        <w:t>Ringkasan Eksekutif</w:t>
      </w:r>
    </w:p>
    <w:p>
      <w:pPr>
        <w:pStyle w:val="ListBullet"/>
        <w:numPr>
          <w:ilvl w:val="0"/>
          <w:numId w:val="2"/>
        </w:numPr>
      </w:pPr>
      <w:r>
        <w:t>Dalam skenario demonstrasi rekaan, catatan barang masuk dan keluar masih terpisah dan belum ada angka selisih stok yang terverifikasi.</w:t>
      </w:r>
      <w:r>
        <w:rPr>
          <w:color w:val="5B6B73"/>
          <w:sz w:val="16"/>
        </w:rPr>
        <w:t xml:space="preserve"> [F0001, F0002]</w:t>
      </w:r>
    </w:p>
    <w:p>
      <w:pPr>
        <w:pStyle w:val="ListBullet"/>
        <w:numPr>
          <w:ilvl w:val="0"/>
          <w:numId w:val="2"/>
        </w:numPr>
      </w:pPr>
      <w:r>
        <w:t>Rapat memutuskan uji coba pencatatan di Gudang A, bukan penerapan langsung di semua gudang; tanggal mulainya belum ditentukan.</w:t>
      </w:r>
      <w:r>
        <w:rPr>
          <w:color w:val="5B6B73"/>
          <w:sz w:val="16"/>
        </w:rPr>
        <w:t xml:space="preserve"> [F0004, F0005]</w:t>
      </w:r>
    </w:p>
    <w:p>
      <w:pPr>
        <w:pStyle w:val="ListBullet"/>
        <w:numPr>
          <w:ilvl w:val="0"/>
          <w:numId w:val="2"/>
        </w:numPr>
      </w:pPr>
      <w:r>
        <w:t>Sari menyiapkan draf format pencatatan, sedangkan Budi menyiapkan daftar barang awal Gudang A; jumlah barang belum dipastikan.</w:t>
      </w:r>
      <w:r>
        <w:rPr>
          <w:color w:val="5B6B73"/>
          <w:sz w:val="16"/>
        </w:rPr>
        <w:t xml:space="preserve"> [F0006, F0007]</w:t>
      </w:r>
    </w:p>
    <w:p>
      <w:pPr>
        <w:pStyle w:val="ListBullet"/>
        <w:numPr>
          <w:ilvl w:val="0"/>
          <w:numId w:val="2"/>
        </w:numPr>
      </w:pPr>
      <w:r>
        <w:t>Pembelian pemindai barcode dan anggarannya belum diputuskan. Pemeriksaan sampel transaksi masih usulan, dengan ukuran sampel dan target yang belum dibahas tuntas.</w:t>
      </w:r>
      <w:r>
        <w:rPr>
          <w:color w:val="5B6B73"/>
          <w:sz w:val="16"/>
        </w:rPr>
        <w:t xml:space="preserve"> [F0009, F0010, F0011]</w:t>
      </w:r>
    </w:p>
    <w:p>
      <w:pPr>
        <w:pStyle w:val="Heading1"/>
        <w:pBdr>
          <w:bottom w:val="single" w:color="1F3864" w:sz="8" w:space="2"/>
        </w:pBdr>
      </w:pPr>
      <w:r>
        <w:t>1. Konteks</w:t>
      </w:r>
    </w:p>
    <w:p>
      <w:pPr>
        <w:pStyle w:val="ListBullet"/>
        <w:numPr>
          <w:ilvl w:val="0"/>
          <w:numId w:val="2"/>
        </w:numPr>
      </w:pPr>
      <w:r>
        <w:t>Rapat membahas uji coba pencatatan inventaris. Materi menyebutkan bahwa skenario, nama, gudang, masalah, dan tanggal merupakan rekaan untuk demonstrasi portofolio.</w:t>
      </w:r>
      <w:r>
        <w:rPr>
          <w:color w:val="5B6B73"/>
          <w:sz w:val="16"/>
        </w:rPr>
        <w:t xml:space="preserve"> [F0001]</w:t>
      </w:r>
    </w:p>
    <w:p>
      <w:pPr>
        <w:pStyle w:val="ListBullet"/>
        <w:numPr>
          <w:ilvl w:val="0"/>
          <w:numId w:val="2"/>
        </w:numPr>
      </w:pPr>
      <w:r>
        <w:t>Latar masalah dalam skenario adalah pencatatan barang masuk dan keluar yang terpisah; angka selisih stok belum terverifikasi.</w:t>
      </w:r>
      <w:r>
        <w:rPr>
          <w:color w:val="5B6B73"/>
          <w:sz w:val="16"/>
        </w:rPr>
        <w:t xml:space="preserve"> [F0002]</w:t>
      </w:r>
    </w:p>
    <w:p>
      <w:pPr>
        <w:pStyle w:val="Heading2"/>
      </w:pPr>
      <w:r>
        <w:t>Pihak dan peran yang disebut</w:t>
      </w:r>
    </w:p>
    <w:p>
      <w:pPr>
        <w:pStyle w:val="ListBullet"/>
        <w:numPr>
          <w:ilvl w:val="0"/>
          <w:numId w:val="2"/>
        </w:numPr>
      </w:pPr>
      <w:r>
        <w:t>Rina — koordinator dalam daftar peserta rekaan.</w:t>
      </w:r>
      <w:r>
        <w:rPr>
          <w:color w:val="5B6B73"/>
          <w:sz w:val="16"/>
        </w:rPr>
        <w:t xml:space="preserve"> [F0001]</w:t>
      </w:r>
    </w:p>
    <w:p>
      <w:pPr>
        <w:pStyle w:val="ListBullet"/>
        <w:numPr>
          <w:ilvl w:val="0"/>
          <w:numId w:val="2"/>
        </w:numPr>
      </w:pPr>
      <w:r>
        <w:t>Budi — operasional dalam daftar peserta rekaan.</w:t>
      </w:r>
      <w:r>
        <w:rPr>
          <w:color w:val="5B6B73"/>
          <w:sz w:val="16"/>
        </w:rPr>
        <w:t xml:space="preserve"> [F0001]</w:t>
      </w:r>
    </w:p>
    <w:p>
      <w:pPr>
        <w:pStyle w:val="ListBullet"/>
        <w:numPr>
          <w:ilvl w:val="0"/>
          <w:numId w:val="2"/>
        </w:numPr>
      </w:pPr>
      <w:r>
        <w:t>Sari — administrasi dalam daftar peserta rekaan.</w:t>
      </w:r>
      <w:r>
        <w:rPr>
          <w:color w:val="5B6B73"/>
          <w:sz w:val="16"/>
        </w:rPr>
        <w:t xml:space="preserve"> [F0001]</w:t>
      </w:r>
    </w:p>
    <w:p>
      <w:pPr>
        <w:pStyle w:val="Heading1"/>
        <w:pBdr>
          <w:bottom w:val="single" w:color="1F3864" w:sz="8" w:space="2"/>
        </w:pBdr>
      </w:pPr>
      <w:r>
        <w:t>2. Informasi Utama</w:t>
      </w:r>
    </w:p>
    <w:p>
      <w:pPr>
        <w:pStyle w:val="Heading2"/>
      </w:pPr>
      <w:r>
        <w:t>2.1 Masalah pencatatan dan ruang lingkup uji coba</w:t>
      </w:r>
    </w:p>
    <w:p>
      <w:pPr>
        <w:pStyle w:val="ListBullet"/>
        <w:numPr>
          <w:ilvl w:val="0"/>
          <w:numId w:val="2"/>
        </w:numPr>
      </w:pPr>
      <w:r>
        <w:t>Dalam skenario rekaan, pencatatan barang masuk dan keluar dilakukan pada lembar terpisah dan belum ada angka selisih stok terverifikasi.</w:t>
      </w:r>
      <w:r>
        <w:rPr>
          <w:color w:val="5B6B73"/>
          <w:sz w:val="16"/>
        </w:rPr>
        <w:t xml:space="preserve"> [F0002]</w:t>
      </w:r>
    </w:p>
    <w:p>
      <w:pPr>
        <w:pStyle w:val="ListBullet"/>
        <w:numPr>
          <w:ilvl w:val="0"/>
          <w:numId w:val="2"/>
        </w:numPr>
      </w:pPr>
      <w:r>
        <w:t>Budi mengusulkan uji coba terbatas di Gudang A, dimulai dari daftar yang ada dengan transaksi pada satu format bersama.</w:t>
      </w:r>
      <w:r>
        <w:rPr>
          <w:color w:val="5B6B73"/>
          <w:sz w:val="16"/>
        </w:rPr>
        <w:t xml:space="preserve"> [F0003]</w:t>
      </w:r>
    </w:p>
    <w:p>
      <w:pPr>
        <w:pStyle w:val="ListBullet"/>
        <w:numPr>
          <w:ilvl w:val="0"/>
          <w:numId w:val="2"/>
        </w:numPr>
      </w:pPr>
      <w:r>
        <w:t>Rapat menyepakati uji coba di Gudang A, bukan penerapan langsung di semua gudang.</w:t>
      </w:r>
      <w:r>
        <w:rPr>
          <w:color w:val="5B6B73"/>
          <w:sz w:val="16"/>
        </w:rPr>
        <w:t xml:space="preserve"> [F0004]</w:t>
      </w:r>
    </w:p>
    <w:p>
      <w:pPr>
        <w:pStyle w:val="Normal"/>
      </w:pPr>
      <w:r>
        <w:t>Status: Uji coba di Gudang A merupakan keputusan; tanggal mulai belum ditentukan.</w:t>
      </w:r>
      <w:r>
        <w:rPr>
          <w:color w:val="5B6B73"/>
          <w:sz w:val="16"/>
        </w:rPr>
        <w:t xml:space="preserve"> [F0004, F0005]</w:t>
      </w:r>
    </w:p>
    <w:p>
      <w:pPr>
        <w:pStyle w:val="Heading2"/>
      </w:pPr>
      <w:r>
        <w:t>2.2 Format dan daftar barang awal</w:t>
      </w:r>
    </w:p>
    <w:p>
      <w:pPr>
        <w:pStyle w:val="ListBullet"/>
        <w:numPr>
          <w:ilvl w:val="0"/>
          <w:numId w:val="2"/>
        </w:numPr>
      </w:pPr>
      <w:r>
        <w:t>Sari menyiapkan format berisi kode dan nama barang, jumlah masuk/keluar, saldo, tanggal transaksi, serta nama petugas; draf ditargetkan 5 November 2026.</w:t>
      </w:r>
      <w:r>
        <w:rPr>
          <w:color w:val="5B6B73"/>
          <w:sz w:val="16"/>
        </w:rPr>
        <w:t xml:space="preserve"> [F0006]</w:t>
      </w:r>
    </w:p>
    <w:p>
      <w:pPr>
        <w:pStyle w:val="ListBullet"/>
        <w:numPr>
          <w:ilvl w:val="0"/>
          <w:numId w:val="2"/>
        </w:numPr>
      </w:pPr>
      <w:r>
        <w:t>Budi menyiapkan daftar barang awal Gudang A paling lambat 6 November 2026; jumlahnya belum dipastikan dan perkiraan tidak boleh dianggap final.</w:t>
      </w:r>
      <w:r>
        <w:rPr>
          <w:color w:val="5B6B73"/>
          <w:sz w:val="16"/>
        </w:rPr>
        <w:t xml:space="preserve"> [F0007]</w:t>
      </w:r>
    </w:p>
    <w:p>
      <w:pPr>
        <w:pStyle w:val="Normal"/>
      </w:pPr>
      <w:r>
        <w:t>Status: Kedua tugas disebut sebagai tugas yang pasti; tanggal mulai uji coba akan ditentukan bersama setelah format dan daftar tersedia.</w:t>
      </w:r>
      <w:r>
        <w:rPr>
          <w:color w:val="5B6B73"/>
          <w:sz w:val="16"/>
        </w:rPr>
        <w:t xml:space="preserve"> [F0005, F0011]</w:t>
      </w:r>
    </w:p>
    <w:p>
      <w:pPr>
        <w:pStyle w:val="Heading2"/>
      </w:pPr>
      <w:r>
        <w:t>2.3 Evaluasi dan keputusan yang masih terbuka</w:t>
      </w:r>
    </w:p>
    <w:p>
      <w:pPr>
        <w:pStyle w:val="ListBullet"/>
        <w:numPr>
          <w:ilvl w:val="0"/>
          <w:numId w:val="2"/>
        </w:numPr>
      </w:pPr>
      <w:r>
        <w:t>Belum ada keputusan membeli pemindai barcode; barcode masih usulan evaluasi dan anggaran belum ditetapkan atau disetujui.</w:t>
      </w:r>
      <w:r>
        <w:rPr>
          <w:color w:val="5B6B73"/>
          <w:sz w:val="16"/>
        </w:rPr>
        <w:t xml:space="preserve"> [F0009]</w:t>
      </w:r>
    </w:p>
    <w:p>
      <w:pPr>
        <w:pStyle w:val="ListBullet"/>
        <w:numPr>
          <w:ilvl w:val="0"/>
          <w:numId w:val="2"/>
        </w:numPr>
      </w:pPr>
      <w:r>
        <w:t>Budi mengusulkan pemeriksaan sampel transaksi untuk menilai kelengkapan isian; ukuran sampel dan target keberhasilan masih perlu dibahas.</w:t>
      </w:r>
      <w:r>
        <w:rPr>
          <w:color w:val="5B6B73"/>
          <w:sz w:val="16"/>
        </w:rPr>
        <w:t xml:space="preserve"> [F0010]</w:t>
      </w:r>
    </w:p>
    <w:p>
      <w:pPr>
        <w:pStyle w:val="ListBullet"/>
        <w:numPr>
          <w:ilvl w:val="0"/>
          <w:numId w:val="2"/>
        </w:numPr>
      </w:pPr>
      <w:r>
        <w:t>Rina akan mengoordinasikan pertemuan berikutnya, tetapi jadwal belum disepakati.</w:t>
      </w:r>
      <w:r>
        <w:rPr>
          <w:color w:val="5B6B73"/>
          <w:sz w:val="16"/>
        </w:rPr>
        <w:t xml:space="preserve"> [F0008]</w:t>
      </w:r>
    </w:p>
    <w:p>
      <w:pPr>
        <w:pStyle w:val="Normal"/>
      </w:pPr>
      <w:r>
        <w:t>Status: Pembelian barcode, tanggal mulai, anggaran, dan ukuran sampel masih perlu konfirmasi.</w:t>
      </w:r>
      <w:r>
        <w:rPr>
          <w:color w:val="5B6B73"/>
          <w:sz w:val="16"/>
        </w:rPr>
        <w:t xml:space="preserve"> [F0011]</w:t>
      </w:r>
    </w:p>
    <w:p>
      <w:pPr>
        <w:pStyle w:val="Heading1"/>
        <w:pBdr>
          <w:bottom w:val="single" w:color="1F3864" w:sz="8" w:space="2"/>
        </w:pBdr>
      </w:pPr>
      <w:r>
        <w:t>3. Hasil Pertemuan</w:t>
      </w:r>
    </w:p>
    <w:p>
      <w:pPr>
        <w:pStyle w:val="ListBullet"/>
        <w:numPr>
          <w:ilvl w:val="0"/>
          <w:numId w:val="2"/>
        </w:numPr>
      </w:pPr>
      <w:r>
        <w:t>Rapat menetapkan uji coba pencatatan di Gudang A, bukan penerapan langsung ke semua gudang.</w:t>
      </w:r>
      <w:r>
        <w:rPr>
          <w:color w:val="5B6B73"/>
          <w:sz w:val="16"/>
        </w:rPr>
        <w:t xml:space="preserve"> [F0004]</w:t>
      </w:r>
    </w:p>
    <w:p>
      <w:pPr>
        <w:pStyle w:val="ListBullet"/>
        <w:numPr>
          <w:ilvl w:val="0"/>
          <w:numId w:val="2"/>
        </w:numPr>
      </w:pPr>
      <w:r>
        <w:t>Tugas persiapan yang disebut pasti adalah draf format oleh Sari dan daftar barang awal oleh Budi.</w:t>
      </w:r>
      <w:r>
        <w:rPr>
          <w:color w:val="5B6B73"/>
          <w:sz w:val="16"/>
        </w:rPr>
        <w:t xml:space="preserve"> [F0011]</w:t>
      </w:r>
    </w:p>
    <w:p>
      <w:pPr>
        <w:pStyle w:val="Heading1"/>
        <w:pBdr>
          <w:bottom w:val="single" w:color="1F3864" w:sz="8" w:space="2"/>
        </w:pBdr>
      </w:pPr>
      <w:r>
        <w:t>4. Risiko</w:t>
      </w:r>
    </w:p>
    <w:p>
      <w:pPr>
        <w:pStyle w:val="Normal"/>
        <w:keepNext/>
      </w:pPr>
      <w:r>
        <w:t>Tingkat dan mitigasi yang berlabel Analisis usulan merupakan penilaian AI berdasarkan transkrip, bukan penetapan atau keputusan rapat.</w:t>
      </w:r>
    </w:p>
    <w:tbl>
      <w:tblPr>
        <w:tblW w:type="auto" w:w="0"/>
        <w:tblLayout w:type="fixed"/>
        <w:tblLook w:firstColumn="1" w:firstRow="1" w:lastColumn="0" w:lastRow="0" w:noHBand="0" w:noVBand="1" w:val="04A0"/>
        <w:tblBorders>
          <w:top w:val="single" w:sz="4" w:color="D3DDE0"/>
          <w:left w:val="single" w:sz="4" w:color="D3DDE0"/>
          <w:bottom w:val="single" w:sz="4" w:color="D3DDE0"/>
          <w:right w:val="single" w:sz="4" w:color="D3DDE0"/>
          <w:insideH w:val="single" w:sz="4" w:color="D3DDE0"/>
          <w:insideV w:val="single" w:sz="4" w:color="D3DDE0"/>
        </w:tblBorders>
      </w:tblPr>
      <w:tblGrid>
        <w:gridCol w:w="1701"/>
        <w:gridCol w:w="3402"/>
        <w:gridCol w:w="1134"/>
        <w:gridCol w:w="3402"/>
      </w:tblGrid>
      <w:tr>
        <w:trPr>
          <w:cantSplit/>
          <w:tblHeader/>
        </w:trPr>
        <w:tc>
          <w:tcPr>
            <w:tcW w:type="dxa" w:w="1701"/>
            <w:shd w:fill="1F3864"/>
            <w:tcMar>
              <w:top w:w="80" w:type="dxa"/>
              <w:bottom w:w="80" w:type="dxa"/>
              <w:left w:w="80" w:type="dxa"/>
              <w:right w:w="80" w:type="dxa"/>
            </w:tcMar>
          </w:tcPr>
          <w:p>
            <w:pPr>
              <w:keepNext/>
              <w:spacing w:after="60"/>
            </w:pPr>
            <w:r>
              <w:rPr>
                <w:rFonts w:ascii="Calibri" w:hAnsi="Calibri"/>
                <w:b/>
                <w:color w:val="FFFFFF"/>
                <w:sz w:val="20"/>
              </w:rPr>
              <w:t>Risiko</w:t>
            </w:r>
          </w:p>
        </w:tc>
        <w:tc>
          <w:tcPr>
            <w:tcW w:type="dxa" w:w="3402"/>
            <w:shd w:fill="1F3864"/>
            <w:tcMar>
              <w:top w:w="80" w:type="dxa"/>
              <w:bottom w:w="80" w:type="dxa"/>
              <w:left w:w="80" w:type="dxa"/>
              <w:right w:w="80" w:type="dxa"/>
            </w:tcMar>
          </w:tcPr>
          <w:p>
            <w:pPr>
              <w:keepNext/>
              <w:spacing w:after="60"/>
            </w:pPr>
            <w:r>
              <w:rPr>
                <w:rFonts w:ascii="Calibri" w:hAnsi="Calibri"/>
                <w:b/>
                <w:color w:val="FFFFFF"/>
                <w:sz w:val="20"/>
              </w:rPr>
              <w:t>Penjelasan dan dampak</w:t>
            </w:r>
          </w:p>
        </w:tc>
        <w:tc>
          <w:tcPr>
            <w:tcW w:type="dxa" w:w="1134"/>
            <w:shd w:fill="1F3864"/>
            <w:tcMar>
              <w:top w:w="80" w:type="dxa"/>
              <w:bottom w:w="80" w:type="dxa"/>
              <w:left w:w="80" w:type="dxa"/>
              <w:right w:w="80" w:type="dxa"/>
            </w:tcMar>
          </w:tcPr>
          <w:p>
            <w:pPr>
              <w:keepNext/>
              <w:spacing w:after="60"/>
            </w:pPr>
            <w:r>
              <w:rPr>
                <w:rFonts w:ascii="Calibri" w:hAnsi="Calibri"/>
                <w:b/>
                <w:color w:val="FFFFFF"/>
                <w:sz w:val="20"/>
              </w:rPr>
              <w:t>Tingkat</w:t>
            </w:r>
          </w:p>
        </w:tc>
        <w:tc>
          <w:tcPr>
            <w:tcW w:type="dxa" w:w="3402"/>
            <w:shd w:fill="1F3864"/>
            <w:tcMar>
              <w:top w:w="80" w:type="dxa"/>
              <w:bottom w:w="80" w:type="dxa"/>
              <w:left w:w="80" w:type="dxa"/>
              <w:right w:w="80" w:type="dxa"/>
            </w:tcMar>
          </w:tcPr>
          <w:p>
            <w:pPr>
              <w:keepNext/>
              <w:spacing w:after="60"/>
            </w:pPr>
            <w:r>
              <w:rPr>
                <w:rFonts w:ascii="Calibri" w:hAnsi="Calibri"/>
                <w:b/>
                <w:color w:val="FFFFFF"/>
                <w:sz w:val="20"/>
              </w:rPr>
              <w:t>Arah mitigasi</w:t>
            </w:r>
          </w:p>
        </w:tc>
      </w:tr>
      <w:tr>
        <w:trPr>
          <w:cantSplit/>
        </w:trPr>
        <w:tc>
          <w:tcPr>
            <w:tcW w:type="dxa" w:w="1701"/>
            <w:shd w:fill="EEF3F8"/>
            <w:tcMar>
              <w:top w:w="80" w:type="dxa"/>
              <w:bottom w:w="80" w:type="dxa"/>
              <w:left w:w="80" w:type="dxa"/>
              <w:right w:w="80" w:type="dxa"/>
            </w:tcMar>
          </w:tcPr>
          <w:p>
            <w:pPr>
              <w:keepNext w:val="0"/>
              <w:spacing w:after="60"/>
            </w:pPr>
            <w:r>
              <w:rPr>
                <w:rFonts w:ascii="Calibri" w:hAnsi="Calibri"/>
                <w:b w:val="0"/>
                <w:color w:val="000000"/>
                <w:sz w:val="20"/>
              </w:rPr>
              <w:t>Catatan terpisah dan selisih stok belum terverifikasi</w:t>
            </w:r>
          </w:p>
        </w:tc>
        <w:tc>
          <w:tcPr>
            <w:tcW w:type="dxa" w:w="3402"/>
            <w:shd w:fill="EEF3F8"/>
            <w:tcMar>
              <w:top w:w="80" w:type="dxa"/>
              <w:bottom w:w="80" w:type="dxa"/>
              <w:left w:w="80" w:type="dxa"/>
              <w:right w:w="80" w:type="dxa"/>
            </w:tcMar>
          </w:tcPr>
          <w:p>
            <w:pPr>
              <w:keepNext w:val="0"/>
              <w:spacing w:after="60"/>
            </w:pPr>
            <w:r>
              <w:rPr>
                <w:rFonts w:ascii="Calibri" w:hAnsi="Calibri"/>
                <w:b w:val="0"/>
                <w:color w:val="000000"/>
                <w:sz w:val="20"/>
              </w:rPr>
              <w:t>Dalam skenario rekaan, pencatatan barang masuk dan keluar masih terpisah dan angka selisih stok belum terverifikasi.</w:t>
              <w:br/>
              <w:t>Dampak: Dapat menyulitkan penilaian kelengkapan catatan dan kecocokan stok. Ini merupakan penilaian, bukan dampak yang dinyatakan sebagai hasil rapat.</w:t>
              <w:br/>
              <w:t>[F0002, F0003, F0010]</w:t>
            </w:r>
          </w:p>
        </w:tc>
        <w:tc>
          <w:tcPr>
            <w:tcW w:type="dxa" w:w="1134"/>
            <w:shd w:fill="EEF3F8"/>
            <w:tcMar>
              <w:top w:w="80" w:type="dxa"/>
              <w:bottom w:w="80" w:type="dxa"/>
              <w:left w:w="80" w:type="dxa"/>
              <w:right w:w="80" w:type="dxa"/>
            </w:tcMar>
          </w:tcPr>
          <w:p>
            <w:pPr>
              <w:keepNext w:val="0"/>
              <w:spacing w:after="60"/>
            </w:pPr>
            <w:r>
              <w:rPr>
                <w:rFonts w:ascii="Calibri" w:hAnsi="Calibri"/>
                <w:b w:val="0"/>
                <w:color w:val="000000"/>
                <w:sz w:val="20"/>
              </w:rPr>
              <w:t>Belum dinilai</w:t>
            </w:r>
          </w:p>
        </w:tc>
        <w:tc>
          <w:tcPr>
            <w:tcW w:type="dxa" w:w="3402"/>
            <w:shd w:fill="EEF3F8"/>
            <w:tcMar>
              <w:top w:w="80" w:type="dxa"/>
              <w:bottom w:w="80" w:type="dxa"/>
              <w:left w:w="80" w:type="dxa"/>
              <w:right w:w="80" w:type="dxa"/>
            </w:tcMar>
          </w:tcPr>
          <w:p>
            <w:pPr>
              <w:keepNext w:val="0"/>
              <w:spacing w:after="60"/>
            </w:pPr>
            <w:r>
              <w:rPr>
                <w:rFonts w:ascii="Calibri" w:hAnsi="Calibri"/>
                <w:b w:val="0"/>
                <w:color w:val="000000"/>
                <w:sz w:val="20"/>
              </w:rPr>
              <w:t>Usulan untuk uji coba: gunakan satu format bersama dan pertimbangkan pemeriksaan sampel transaksi; usulan sampel belum disepakati.</w:t>
              <w:br/>
              <w:t>Analisis usulan</w:t>
            </w:r>
          </w:p>
        </w:tc>
      </w:tr>
    </w:tbl>
    <w:p/>
    <w:p>
      <w:pPr>
        <w:pStyle w:val="Heading1"/>
        <w:pBdr>
          <w:bottom w:val="single" w:color="1F3864" w:sz="8" w:space="2"/>
        </w:pBdr>
      </w:pPr>
      <w:r>
        <w:t>5. Keputusan</w:t>
      </w:r>
    </w:p>
    <w:p>
      <w:pPr>
        <w:pStyle w:val="Heading2"/>
      </w:pPr>
      <w:r>
        <w:t>Keputusan yang disebut atau tindakan yang dilaporkan</w:t>
      </w:r>
    </w:p>
    <w:p>
      <w:pPr>
        <w:pStyle w:val="ListBullet"/>
        <w:numPr>
          <w:ilvl w:val="0"/>
          <w:numId w:val="2"/>
        </w:numPr>
      </w:pPr>
      <w:r>
        <w:t>Uji coba pencatatan dilakukan di Gudang A, bukan langsung diterapkan ke semua gudang.</w:t>
      </w:r>
      <w:r>
        <w:rPr>
          <w:color w:val="5B6B73"/>
          <w:sz w:val="16"/>
        </w:rPr>
        <w:t xml:space="preserve"> [F0004]</w:t>
      </w:r>
    </w:p>
    <w:p>
      <w:pPr>
        <w:pStyle w:val="Heading2"/>
      </w:pPr>
      <w:r>
        <w:t>Hal yang belum diputuskan</w:t>
      </w:r>
    </w:p>
    <w:p>
      <w:pPr>
        <w:pStyle w:val="ListBullet"/>
        <w:numPr>
          <w:ilvl w:val="0"/>
          <w:numId w:val="2"/>
        </w:numPr>
      </w:pPr>
      <w:r>
        <w:t>Menentukan tanggal mulai uji coba setelah format dan daftar barang tersedia.</w:t>
      </w:r>
      <w:r>
        <w:rPr>
          <w:color w:val="5B6B73"/>
          <w:sz w:val="16"/>
        </w:rPr>
        <w:t xml:space="preserve"> [F0005]</w:t>
      </w:r>
    </w:p>
    <w:p>
      <w:pPr>
        <w:pStyle w:val="ListBullet"/>
        <w:numPr>
          <w:ilvl w:val="0"/>
          <w:numId w:val="2"/>
        </w:numPr>
      </w:pPr>
      <w:r>
        <w:t>Mengonfirmasi apakah membeli pemindai barcode dan menetapkan anggaran; belum ada persetujuan pembelian atau anggaran.</w:t>
      </w:r>
      <w:r>
        <w:rPr>
          <w:color w:val="5B6B73"/>
          <w:sz w:val="16"/>
        </w:rPr>
        <w:t xml:space="preserve"> [F0009]</w:t>
      </w:r>
    </w:p>
    <w:p>
      <w:pPr>
        <w:pStyle w:val="ListBullet"/>
        <w:numPr>
          <w:ilvl w:val="0"/>
          <w:numId w:val="2"/>
        </w:numPr>
      </w:pPr>
      <w:r>
        <w:t>Membahas ukuran sampel dan target keberhasilan jika usulan pemeriksaan sampel dipertimbangkan.</w:t>
      </w:r>
      <w:r>
        <w:rPr>
          <w:color w:val="5B6B73"/>
          <w:sz w:val="16"/>
        </w:rPr>
        <w:t xml:space="preserve"> [F0010]</w:t>
      </w:r>
    </w:p>
    <w:p>
      <w:pPr>
        <w:pStyle w:val="ListBullet"/>
        <w:numPr>
          <w:ilvl w:val="0"/>
          <w:numId w:val="2"/>
        </w:numPr>
      </w:pPr>
      <w:r>
        <w:t>Menentukan jadwal pertemuan berikutnya yang akan dikoordinasikan Rina.</w:t>
      </w:r>
      <w:r>
        <w:rPr>
          <w:color w:val="5B6B73"/>
          <w:sz w:val="16"/>
        </w:rPr>
        <w:t xml:space="preserve"> [F0008]</w:t>
      </w:r>
    </w:p>
    <w:p>
      <w:pPr>
        <w:pStyle w:val="Heading1"/>
        <w:pBdr>
          <w:bottom w:val="single" w:color="1F3864" w:sz="8" w:space="2"/>
        </w:pBdr>
      </w:pPr>
      <w:r>
        <w:t>6. Kesimpulan</w:t>
      </w:r>
    </w:p>
    <w:p>
      <w:pPr>
        <w:pStyle w:val="Normal"/>
      </w:pPr>
      <w:r>
        <w:t>Sintesis berikut merangkum makna pembahasan dan tidak menambah komitmen baru.</w:t>
      </w:r>
    </w:p>
    <w:p>
      <w:pPr>
        <w:pStyle w:val="ListBullet"/>
        <w:numPr>
          <w:ilvl w:val="0"/>
          <w:numId w:val="2"/>
        </w:numPr>
      </w:pPr>
      <w:r>
        <w:t>Ruang lingkup uji coba telah diputuskan, tetapi pelaksanaannya belum memiliki tanggal mulai.</w:t>
      </w:r>
      <w:r>
        <w:rPr>
          <w:color w:val="5B6B73"/>
          <w:sz w:val="16"/>
        </w:rPr>
        <w:t xml:space="preserve"> [F0004, F0005]</w:t>
      </w:r>
    </w:p>
    <w:p>
      <w:pPr>
        <w:pStyle w:val="ListBullet"/>
        <w:numPr>
          <w:ilvl w:val="0"/>
          <w:numId w:val="2"/>
        </w:numPr>
      </w:pPr>
      <w:r>
        <w:t>Persiapan format dan daftar barang menjadi hal yang perlu tersedia sebelum tanggal mulai ditentukan bersama.</w:t>
      </w:r>
      <w:r>
        <w:rPr>
          <w:color w:val="5B6B73"/>
          <w:sz w:val="16"/>
        </w:rPr>
        <w:t xml:space="preserve"> [F0005, F0006, F0007]</w:t>
      </w:r>
    </w:p>
    <w:p>
      <w:pPr>
        <w:pStyle w:val="Heading1"/>
        <w:pBdr>
          <w:bottom w:val="single" w:color="1F3864" w:sz="8" w:space="2"/>
        </w:pBdr>
      </w:pPr>
      <w:r>
        <w:t>7. Tindak Lanjut</w:t>
      </w:r>
    </w:p>
    <w:p>
      <w:pPr>
        <w:pStyle w:val="Normal"/>
        <w:keepNext/>
      </w:pPr>
      <w:r>
        <w:t>Tabel ini memuat tindak lanjut yang didukung sumber. PIC atau tenggat yang tidak pasti tidak diisi dengan tebakan. Rekomendasi dan rencana implementasi tambahan disajikan sebagai usulan dalam PPT dan Excel bila dipilih.</w:t>
      </w:r>
    </w:p>
    <w:tbl>
      <w:tblPr>
        <w:tblW w:type="auto" w:w="0"/>
        <w:tblLayout w:type="fixed"/>
        <w:tblLook w:firstColumn="1" w:firstRow="1" w:lastColumn="0" w:lastRow="0" w:noHBand="0" w:noVBand="1" w:val="04A0"/>
        <w:tblBorders>
          <w:top w:val="single" w:sz="4" w:color="D3DDE0"/>
          <w:left w:val="single" w:sz="4" w:color="D3DDE0"/>
          <w:bottom w:val="single" w:sz="4" w:color="D3DDE0"/>
          <w:right w:val="single" w:sz="4" w:color="D3DDE0"/>
          <w:insideH w:val="single" w:sz="4" w:color="D3DDE0"/>
          <w:insideV w:val="single" w:sz="4" w:color="D3DDE0"/>
        </w:tblBorders>
      </w:tblPr>
      <w:tblGrid>
        <w:gridCol w:w="454"/>
        <w:gridCol w:w="4649"/>
        <w:gridCol w:w="2268"/>
        <w:gridCol w:w="2268"/>
      </w:tblGrid>
      <w:tr>
        <w:trPr>
          <w:cantSplit/>
          <w:tblHeader/>
        </w:trPr>
        <w:tc>
          <w:tcPr>
            <w:tcW w:type="dxa" w:w="454"/>
            <w:shd w:fill="1F3864"/>
            <w:tcMar>
              <w:top w:w="80" w:type="dxa"/>
              <w:bottom w:w="80" w:type="dxa"/>
              <w:left w:w="80" w:type="dxa"/>
              <w:right w:w="80" w:type="dxa"/>
            </w:tcMar>
          </w:tcPr>
          <w:p>
            <w:pPr>
              <w:keepNext/>
              <w:spacing w:after="60"/>
            </w:pPr>
            <w:r>
              <w:rPr>
                <w:rFonts w:ascii="Calibri" w:hAnsi="Calibri"/>
                <w:b/>
                <w:color w:val="FFFFFF"/>
                <w:sz w:val="20"/>
              </w:rPr>
              <w:t>No</w:t>
            </w:r>
          </w:p>
        </w:tc>
        <w:tc>
          <w:tcPr>
            <w:tcW w:type="dxa" w:w="4649"/>
            <w:shd w:fill="1F3864"/>
            <w:tcMar>
              <w:top w:w="80" w:type="dxa"/>
              <w:bottom w:w="80" w:type="dxa"/>
              <w:left w:w="80" w:type="dxa"/>
              <w:right w:w="80" w:type="dxa"/>
            </w:tcMar>
          </w:tcPr>
          <w:p>
            <w:pPr>
              <w:keepNext/>
              <w:spacing w:after="60"/>
            </w:pPr>
            <w:r>
              <w:rPr>
                <w:rFonts w:ascii="Calibri" w:hAnsi="Calibri"/>
                <w:b/>
                <w:color w:val="FFFFFF"/>
                <w:sz w:val="20"/>
              </w:rPr>
              <w:t>Tindak lanjut</w:t>
            </w:r>
          </w:p>
        </w:tc>
        <w:tc>
          <w:tcPr>
            <w:tcW w:type="dxa" w:w="2268"/>
            <w:shd w:fill="1F3864"/>
            <w:tcMar>
              <w:top w:w="80" w:type="dxa"/>
              <w:bottom w:w="80" w:type="dxa"/>
              <w:left w:w="80" w:type="dxa"/>
              <w:right w:w="80" w:type="dxa"/>
            </w:tcMar>
          </w:tcPr>
          <w:p>
            <w:pPr>
              <w:keepNext/>
              <w:spacing w:after="60"/>
            </w:pPr>
            <w:r>
              <w:rPr>
                <w:rFonts w:ascii="Calibri" w:hAnsi="Calibri"/>
                <w:b/>
                <w:color w:val="FFFFFF"/>
                <w:sz w:val="20"/>
              </w:rPr>
              <w:t>PIC disebut</w:t>
            </w:r>
          </w:p>
        </w:tc>
        <w:tc>
          <w:tcPr>
            <w:tcW w:type="dxa" w:w="2268"/>
            <w:shd w:fill="1F3864"/>
            <w:tcMar>
              <w:top w:w="80" w:type="dxa"/>
              <w:bottom w:w="80" w:type="dxa"/>
              <w:left w:w="80" w:type="dxa"/>
              <w:right w:w="80" w:type="dxa"/>
            </w:tcMar>
          </w:tcPr>
          <w:p>
            <w:pPr>
              <w:keepNext/>
              <w:spacing w:after="60"/>
            </w:pPr>
            <w:r>
              <w:rPr>
                <w:rFonts w:ascii="Calibri" w:hAnsi="Calibri"/>
                <w:b/>
                <w:color w:val="FFFFFF"/>
                <w:sz w:val="20"/>
              </w:rPr>
              <w:t>Tenggat disebut</w:t>
            </w:r>
          </w:p>
        </w:tc>
      </w:tr>
      <w:tr>
        <w:trPr>
          <w:cantSplit/>
        </w:trPr>
        <w:tc>
          <w:tcPr>
            <w:tcW w:type="dxa" w:w="454"/>
            <w:shd w:fill="EEF3F8"/>
            <w:tcMar>
              <w:top w:w="80" w:type="dxa"/>
              <w:bottom w:w="80" w:type="dxa"/>
              <w:left w:w="80" w:type="dxa"/>
              <w:right w:w="80" w:type="dxa"/>
            </w:tcMar>
          </w:tcPr>
          <w:p>
            <w:pPr>
              <w:keepNext w:val="0"/>
              <w:spacing w:after="60"/>
            </w:pPr>
            <w:r>
              <w:rPr>
                <w:rFonts w:ascii="Calibri" w:hAnsi="Calibri"/>
                <w:b w:val="0"/>
                <w:color w:val="000000"/>
                <w:sz w:val="20"/>
              </w:rPr>
              <w:t>1</w:t>
            </w:r>
          </w:p>
        </w:tc>
        <w:tc>
          <w:tcPr>
            <w:tcW w:type="dxa" w:w="4649"/>
            <w:shd w:fill="EEF3F8"/>
            <w:tcMar>
              <w:top w:w="80" w:type="dxa"/>
              <w:bottom w:w="80" w:type="dxa"/>
              <w:left w:w="80" w:type="dxa"/>
              <w:right w:w="80" w:type="dxa"/>
            </w:tcMar>
          </w:tcPr>
          <w:p>
            <w:pPr>
              <w:keepNext w:val="0"/>
              <w:spacing w:after="60"/>
            </w:pPr>
            <w:r>
              <w:rPr>
                <w:rFonts w:ascii="Calibri" w:hAnsi="Calibri"/>
                <w:b w:val="0"/>
                <w:color w:val="000000"/>
                <w:sz w:val="20"/>
              </w:rPr>
              <w:t>Menyiapkan draf format pencatatan dengan kolom kode barang, nama barang, jumlah masuk, jumlah keluar, saldo, tanggal transaksi, dan nama petugas.</w:t>
              <w:br/>
              <w:t>[F0006]</w:t>
            </w:r>
          </w:p>
        </w:tc>
        <w:tc>
          <w:tcPr>
            <w:tcW w:type="dxa" w:w="2268"/>
            <w:shd w:fill="EEF3F8"/>
            <w:tcMar>
              <w:top w:w="80" w:type="dxa"/>
              <w:bottom w:w="80" w:type="dxa"/>
              <w:left w:w="80" w:type="dxa"/>
              <w:right w:w="80" w:type="dxa"/>
            </w:tcMar>
          </w:tcPr>
          <w:p>
            <w:pPr>
              <w:keepNext w:val="0"/>
              <w:spacing w:after="60"/>
            </w:pPr>
            <w:r>
              <w:rPr>
                <w:rFonts w:ascii="Calibri" w:hAnsi="Calibri"/>
                <w:b w:val="0"/>
                <w:color w:val="000000"/>
                <w:sz w:val="20"/>
              </w:rPr>
              <w:t>Sari</w:t>
            </w:r>
          </w:p>
        </w:tc>
        <w:tc>
          <w:tcPr>
            <w:tcW w:type="dxa" w:w="2268"/>
            <w:shd w:fill="EEF3F8"/>
            <w:tcMar>
              <w:top w:w="80" w:type="dxa"/>
              <w:bottom w:w="80" w:type="dxa"/>
              <w:left w:w="80" w:type="dxa"/>
              <w:right w:w="80" w:type="dxa"/>
            </w:tcMar>
          </w:tcPr>
          <w:p>
            <w:pPr>
              <w:keepNext w:val="0"/>
              <w:spacing w:after="60"/>
            </w:pPr>
            <w:r>
              <w:rPr>
                <w:rFonts w:ascii="Calibri" w:hAnsi="Calibri"/>
                <w:b w:val="0"/>
                <w:color w:val="000000"/>
                <w:sz w:val="20"/>
              </w:rPr>
              <w:t>5 November 2026</w:t>
            </w:r>
          </w:p>
        </w:tc>
      </w:tr>
      <w:tr>
        <w:trPr>
          <w:cantSplit/>
        </w:trPr>
        <w:tc>
          <w:tcPr>
            <w:tcW w:type="dxa" w:w="454"/>
            <w:shd w:fill="FFFFFF"/>
            <w:tcMar>
              <w:top w:w="80" w:type="dxa"/>
              <w:bottom w:w="80" w:type="dxa"/>
              <w:left w:w="80" w:type="dxa"/>
              <w:right w:w="80" w:type="dxa"/>
            </w:tcMar>
          </w:tcPr>
          <w:p>
            <w:pPr>
              <w:keepNext w:val="0"/>
              <w:spacing w:after="60"/>
            </w:pPr>
            <w:r>
              <w:rPr>
                <w:rFonts w:ascii="Calibri" w:hAnsi="Calibri"/>
                <w:b w:val="0"/>
                <w:color w:val="000000"/>
                <w:sz w:val="20"/>
              </w:rPr>
              <w:t>2</w:t>
            </w:r>
          </w:p>
        </w:tc>
        <w:tc>
          <w:tcPr>
            <w:tcW w:type="dxa" w:w="4649"/>
            <w:shd w:fill="FFFFFF"/>
            <w:tcMar>
              <w:top w:w="80" w:type="dxa"/>
              <w:bottom w:w="80" w:type="dxa"/>
              <w:left w:w="80" w:type="dxa"/>
              <w:right w:w="80" w:type="dxa"/>
            </w:tcMar>
          </w:tcPr>
          <w:p>
            <w:pPr>
              <w:keepNext w:val="0"/>
              <w:spacing w:after="60"/>
            </w:pPr>
            <w:r>
              <w:rPr>
                <w:rFonts w:ascii="Calibri" w:hAnsi="Calibri"/>
                <w:b w:val="0"/>
                <w:color w:val="000000"/>
                <w:sz w:val="20"/>
              </w:rPr>
              <w:t>Menyiapkan daftar barang awal untuk Gudang A; jumlah barang belum dipastikan dan angka perkiraan tidak boleh dicatat sebagai data final.</w:t>
              <w:br/>
              <w:t>[F0007]</w:t>
            </w:r>
          </w:p>
        </w:tc>
        <w:tc>
          <w:tcPr>
            <w:tcW w:type="dxa" w:w="2268"/>
            <w:shd w:fill="FFFFFF"/>
            <w:tcMar>
              <w:top w:w="80" w:type="dxa"/>
              <w:bottom w:w="80" w:type="dxa"/>
              <w:left w:w="80" w:type="dxa"/>
              <w:right w:w="80" w:type="dxa"/>
            </w:tcMar>
          </w:tcPr>
          <w:p>
            <w:pPr>
              <w:keepNext w:val="0"/>
              <w:spacing w:after="60"/>
            </w:pPr>
            <w:r>
              <w:rPr>
                <w:rFonts w:ascii="Calibri" w:hAnsi="Calibri"/>
                <w:b w:val="0"/>
                <w:color w:val="000000"/>
                <w:sz w:val="20"/>
              </w:rPr>
              <w:t>Budi</w:t>
            </w:r>
          </w:p>
        </w:tc>
        <w:tc>
          <w:tcPr>
            <w:tcW w:type="dxa" w:w="2268"/>
            <w:shd w:fill="FFFFFF"/>
            <w:tcMar>
              <w:top w:w="80" w:type="dxa"/>
              <w:bottom w:w="80" w:type="dxa"/>
              <w:left w:w="80" w:type="dxa"/>
              <w:right w:w="80" w:type="dxa"/>
            </w:tcMar>
          </w:tcPr>
          <w:p>
            <w:pPr>
              <w:keepNext w:val="0"/>
              <w:spacing w:after="60"/>
            </w:pPr>
            <w:r>
              <w:rPr>
                <w:rFonts w:ascii="Calibri" w:hAnsi="Calibri"/>
                <w:b w:val="0"/>
                <w:color w:val="000000"/>
                <w:sz w:val="20"/>
              </w:rPr>
              <w:t>Paling lambat 6 November 2026</w:t>
            </w:r>
          </w:p>
        </w:tc>
      </w:tr>
      <w:tr>
        <w:trPr>
          <w:cantSplit/>
        </w:trPr>
        <w:tc>
          <w:tcPr>
            <w:tcW w:type="dxa" w:w="454"/>
            <w:shd w:fill="EEF3F8"/>
            <w:tcMar>
              <w:top w:w="80" w:type="dxa"/>
              <w:bottom w:w="80" w:type="dxa"/>
              <w:left w:w="80" w:type="dxa"/>
              <w:right w:w="80" w:type="dxa"/>
            </w:tcMar>
          </w:tcPr>
          <w:p>
            <w:pPr>
              <w:keepNext w:val="0"/>
              <w:spacing w:after="60"/>
            </w:pPr>
            <w:r>
              <w:rPr>
                <w:rFonts w:ascii="Calibri" w:hAnsi="Calibri"/>
                <w:b w:val="0"/>
                <w:color w:val="000000"/>
                <w:sz w:val="20"/>
              </w:rPr>
              <w:t>3</w:t>
            </w:r>
          </w:p>
        </w:tc>
        <w:tc>
          <w:tcPr>
            <w:tcW w:type="dxa" w:w="4649"/>
            <w:shd w:fill="EEF3F8"/>
            <w:tcMar>
              <w:top w:w="80" w:type="dxa"/>
              <w:bottom w:w="80" w:type="dxa"/>
              <w:left w:w="80" w:type="dxa"/>
              <w:right w:w="80" w:type="dxa"/>
            </w:tcMar>
          </w:tcPr>
          <w:p>
            <w:pPr>
              <w:keepNext w:val="0"/>
              <w:spacing w:after="60"/>
            </w:pPr>
            <w:r>
              <w:rPr>
                <w:rFonts w:ascii="Calibri" w:hAnsi="Calibri"/>
                <w:b w:val="0"/>
                <w:color w:val="000000"/>
                <w:sz w:val="20"/>
              </w:rPr>
              <w:t>Mengoordinasikan pertemuan berikutnya; jadwal belum disepakati.</w:t>
              <w:br/>
              <w:t>[F0008]</w:t>
            </w:r>
          </w:p>
        </w:tc>
        <w:tc>
          <w:tcPr>
            <w:tcW w:type="dxa" w:w="2268"/>
            <w:shd w:fill="EEF3F8"/>
            <w:tcMar>
              <w:top w:w="80" w:type="dxa"/>
              <w:bottom w:w="80" w:type="dxa"/>
              <w:left w:w="80" w:type="dxa"/>
              <w:right w:w="80" w:type="dxa"/>
            </w:tcMar>
          </w:tcPr>
          <w:p>
            <w:pPr>
              <w:keepNext w:val="0"/>
              <w:spacing w:after="60"/>
            </w:pPr>
            <w:r>
              <w:rPr>
                <w:rFonts w:ascii="Calibri" w:hAnsi="Calibri"/>
                <w:b w:val="0"/>
                <w:color w:val="000000"/>
                <w:sz w:val="20"/>
              </w:rPr>
              <w:t>Rina</w:t>
            </w:r>
          </w:p>
        </w:tc>
        <w:tc>
          <w:tcPr>
            <w:tcW w:type="dxa" w:w="2268"/>
            <w:shd w:fill="EEF3F8"/>
            <w:tcMar>
              <w:top w:w="80" w:type="dxa"/>
              <w:bottom w:w="80" w:type="dxa"/>
              <w:left w:w="80" w:type="dxa"/>
              <w:right w:w="80" w:type="dxa"/>
            </w:tcMar>
          </w:tcPr>
          <w:p>
            <w:pPr>
              <w:keepNext w:val="0"/>
              <w:spacing w:after="60"/>
            </w:pPr>
            <w:r>
              <w:rPr>
                <w:rFonts w:ascii="Calibri" w:hAnsi="Calibri"/>
                <w:b w:val="0"/>
                <w:color w:val="000000"/>
                <w:sz w:val="20"/>
              </w:rPr>
              <w:t>Tidak disebutkan</w:t>
            </w:r>
          </w:p>
        </w:tc>
      </w:tr>
    </w:tbl>
    <w:p/>
    <w:p>
      <w:pPr>
        <w:pStyle w:val="Heading1"/>
        <w:pBdr>
          <w:bottom w:val="single" w:color="1F3864" w:sz="8" w:space="2"/>
        </w:pBdr>
      </w:pPr>
      <w:r>
        <w:t>8. Poin yang Perlu Diverifikasi</w:t>
      </w:r>
    </w:p>
    <w:p>
      <w:pPr>
        <w:pStyle w:val="ListBullet"/>
        <w:numPr>
          <w:ilvl w:val="0"/>
          <w:numId w:val="2"/>
        </w:numPr>
      </w:pPr>
      <w:r>
        <w:t>Seluruh nama, gudang, masalah, dan tanggal adalah rekaan untuk demonstrasi portofolio, bukan data klien. Source_id: S00001, S00002; waktu: tidak dicantumkan.</w:t>
      </w:r>
    </w:p>
    <w:p>
      <w:pPr>
        <w:pStyle w:val="ListBullet"/>
        <w:numPr>
          <w:ilvl w:val="0"/>
          <w:numId w:val="2"/>
        </w:numPr>
      </w:pPr>
      <w:r>
        <w:t>Tanggal mulai uji coba akan ditentukan bersama setelah daftar barang dan format tersedia; jadwal pertemuan berikutnya juga belum disepakati. Source_id: S00001, S00002; waktu: tidak dicantumkan.</w:t>
      </w:r>
    </w:p>
    <w:p>
      <w:pPr>
        <w:pStyle w:val="ListBullet"/>
        <w:numPr>
          <w:ilvl w:val="0"/>
          <w:numId w:val="2"/>
        </w:numPr>
      </w:pPr>
      <w:r>
        <w:t>Pembelian barcode belum diputuskan dan anggaran belum ditetapkan atau disetujui. Source_id: S00002; waktu: tidak dicantumkan.</w:t>
      </w:r>
    </w:p>
    <w:p>
      <w:pPr>
        <w:pStyle w:val="ListBullet"/>
        <w:numPr>
          <w:ilvl w:val="0"/>
          <w:numId w:val="2"/>
        </w:numPr>
      </w:pPr>
      <w:r>
        <w:t>Pemeriksaan sampel transaksi masih berupa usulan; besar sampel dan target keberhasilan perlu dibahas. Source_id: S00002; waktu: tidak dicantumkan.</w:t>
      </w:r>
    </w:p>
    <w:p>
      <w:pPr>
        <w:pStyle w:val="Heading1"/>
        <w:pBdr>
          <w:bottom w:val="single" w:color="1F3864" w:sz="8" w:space="2"/>
        </w:pBdr>
      </w:pPr>
      <w:r>
        <w:t>9. Catatan Keterbatasan Data</w:t>
      </w:r>
    </w:p>
    <w:p>
      <w:pPr>
        <w:pStyle w:val="Normal"/>
      </w:pPr>
      <w:r>
        <w:t>Pemeriksaan otomatis tidak menjamin ketepatan setiap ucapan terhadap audio. Identitas pembicara, istilah dan nama yang belum pasti harus diperlakukan sesuai catatan sumber. Penuturan tentang kasus atau dugaan bukan pembuktian formal. Jadwal usulan memerlukan konfirmasi kapasitas dan persetujuan sebelum dijalankan.</w:t>
      </w:r>
    </w:p>
    <w:p>
      <w:pPr>
        <w:pStyle w:val="Heading1"/>
        <w:pBdr>
          <w:bottom w:val="single" w:color="1F3864" w:sz="8" w:space="2"/>
        </w:pBdr>
      </w:pPr>
      <w:r>
        <w:t>Rujukan Transkrip</w:t>
      </w:r>
    </w:p>
    <w:p>
      <w:pPr>
        <w:pStyle w:val="Normal"/>
      </w:pPr>
      <w:r>
        <w:t>Kode pada isi laporan menautkan informasi ke kutipan sumber berikut. Berkas transkrip lengkap tetap menjadi acuan konteks.</w:t>
      </w:r>
    </w:p>
    <w:p>
      <w:pPr>
        <w:pStyle w:val="Normal"/>
      </w:pPr>
      <w:r>
        <w:rPr>
          <w:b/>
        </w:rPr>
        <w:t>F0001 - S00001, S00002</w:t>
      </w:r>
    </w:p>
    <w:p>
      <w:pPr>
        <w:pStyle w:val="Normal"/>
      </w:pPr>
      <w:r>
        <w:t>Tanggal rapat: 2 November 2026</w:t>
      </w:r>
    </w:p>
    <w:p>
      <w:pPr>
        <w:pStyle w:val="Normal"/>
      </w:pPr>
      <w:r>
        <w:rPr>
          <w:b/>
        </w:rPr>
        <w:t>F0002 - S00001</w:t>
      </w:r>
    </w:p>
    <w:p>
      <w:pPr>
        <w:pStyle w:val="Normal"/>
      </w:pPr>
      <w:r>
        <w:t>pencatatan barang masuk dan keluar masih dilakukan pada lembar yang terpisah</w:t>
      </w:r>
    </w:p>
    <w:p>
      <w:pPr>
        <w:pStyle w:val="Normal"/>
      </w:pPr>
      <w:r>
        <w:rPr>
          <w:b/>
        </w:rPr>
        <w:t>F0003 - S00001</w:t>
      </w:r>
    </w:p>
    <w:p>
      <w:pPr>
        <w:pStyle w:val="Normal"/>
      </w:pPr>
      <w:r>
        <w:t>Saya mengusulkan agar uji coba dibatasi pada Gudang A.</w:t>
      </w:r>
    </w:p>
    <w:p>
      <w:pPr>
        <w:pStyle w:val="Normal"/>
      </w:pPr>
      <w:r>
        <w:rPr>
          <w:b/>
        </w:rPr>
        <w:t>F0004 - S00001</w:t>
      </w:r>
    </w:p>
    <w:p>
      <w:pPr>
        <w:pStyle w:val="Normal"/>
      </w:pPr>
      <w:r>
        <w:t>Keputusan rapat adalah melakukan uji coba pencatatan pada Gudang A, bukan langsung menerapkan ke semua gudang.</w:t>
      </w:r>
    </w:p>
    <w:p>
      <w:pPr>
        <w:pStyle w:val="Normal"/>
      </w:pPr>
      <w:r>
        <w:rPr>
          <w:b/>
        </w:rPr>
        <w:t>F0005 - S00001, S00002</w:t>
      </w:r>
    </w:p>
    <w:p>
      <w:pPr>
        <w:pStyle w:val="Normal"/>
      </w:pPr>
      <w:r>
        <w:t>Tanggal mulai uji coba belum ditentukan.</w:t>
      </w:r>
    </w:p>
    <w:p>
      <w:pPr>
        <w:pStyle w:val="Normal"/>
      </w:pPr>
      <w:r>
        <w:rPr>
          <w:b/>
        </w:rPr>
        <w:t>F0006 - S00001</w:t>
      </w:r>
    </w:p>
    <w:p>
      <w:pPr>
        <w:pStyle w:val="Normal"/>
      </w:pPr>
      <w:r>
        <w:t>Draf format akan saya siapkan pada 5 November 2026.</w:t>
      </w:r>
    </w:p>
    <w:p>
      <w:pPr>
        <w:pStyle w:val="Normal"/>
      </w:pPr>
      <w:r>
        <w:rPr>
          <w:b/>
        </w:rPr>
        <w:t>F0007 - S00001</w:t>
      </w:r>
    </w:p>
    <w:p>
      <w:pPr>
        <w:pStyle w:val="Normal"/>
      </w:pPr>
      <w:r>
        <w:t>paling lambat 6 November 2026</w:t>
      </w:r>
    </w:p>
    <w:p>
      <w:pPr>
        <w:pStyle w:val="Normal"/>
      </w:pPr>
      <w:r>
        <w:rPr>
          <w:b/>
        </w:rPr>
        <w:t>F0008 - S00002</w:t>
      </w:r>
    </w:p>
    <w:p>
      <w:pPr>
        <w:pStyle w:val="Normal"/>
      </w:pPr>
      <w:r>
        <w:t>Saya akan mengoordinasikan pertemuan berikutnya, tetapi jadwalnya belum disepakati.</w:t>
      </w:r>
    </w:p>
    <w:p>
      <w:pPr>
        <w:pStyle w:val="Normal"/>
      </w:pPr>
      <w:r>
        <w:rPr>
          <w:b/>
        </w:rPr>
        <w:t>F0009 - S00002</w:t>
      </w:r>
    </w:p>
    <w:p>
      <w:pPr>
        <w:pStyle w:val="Normal"/>
      </w:pPr>
      <w:r>
        <w:t>Belum ada keputusan membeli perangkat.</w:t>
      </w:r>
    </w:p>
    <w:p>
      <w:pPr>
        <w:pStyle w:val="Normal"/>
      </w:pPr>
      <w:r>
        <w:rPr>
          <w:b/>
        </w:rPr>
        <w:t>F0010 - S00002</w:t>
      </w:r>
    </w:p>
    <w:p>
      <w:pPr>
        <w:pStyle w:val="Normal"/>
      </w:pPr>
      <w:r>
        <w:t>Besar sampel dan target keberhasilannya masih perlu dibahas.</w:t>
      </w:r>
    </w:p>
    <w:p>
      <w:pPr>
        <w:pStyle w:val="Normal"/>
      </w:pPr>
      <w:r>
        <w:rPr>
          <w:b/>
        </w:rPr>
        <w:t>F0011 - S00002</w:t>
      </w:r>
    </w:p>
    <w:p>
      <w:pPr>
        <w:pStyle w:val="Normal"/>
      </w:pPr>
      <w:r>
        <w:t>Pembelian barcode, tanggal mulai, anggaran, serta ukuran sampel masih perlu konfirmasi.</w:t>
      </w:r>
    </w:p>
    <w:sectPr>
      <w:footerReference w:type="default" r:id="rId7"/>
      <w:headerReference w:type="default" r:id="rId9"/>
      <w:headerReference w:type="first" r:id="rId10"/>
      <w:footerReference w:type="first" r:id="rId11"/>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hAnsi="Calibri"/>
        <w:color w:val="777777"/>
        <w:sz w:val="16"/>
      </w:rPr>
      <w:t xml:space="preserve">Ringkasan Pertemuan | Halaman </w:t>
    </w:r>
    <w:fldSimple w:instr="PAGE">
      <w:r>
        <w:t>1</w:t>
      </w:r>
    </w:fldSimple>
    <w:r>
      <w:rPr>
        <w:rFonts w:ascii="Calibri" w:hAnsi="Calibri"/>
        <w:color w:val="777777"/>
        <w:sz w:val="16"/>
      </w:rPr>
      <w:t xml:space="preserve"> dari </w:t>
    </w:r>
    <w:fldSimple w:instr="NUMPAGES">
      <w: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pPr>
      <w:widowControl/>
      <w:spacing w:after="120" w:line="264" w:lineRule="auto"/>
    </w:pPr>
    <w:rPr>
      <w:rFonts w:ascii="Calibri" w:hAnsi="Calibri"/>
      <w:b/>
      <w:color w:val="1F3864"/>
      <w:sz w:val="40"/>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customStyle="1" w:styleId="Normal">
    <w:name w:val="Normal"/>
    <w:pPr>
      <w:widowControl/>
      <w:spacing w:after="60" w:line="264" w:lineRule="auto"/>
    </w:pPr>
    <w:rPr>
      <w:rFonts w:ascii="Calibri" w:hAnsi="Calibri"/>
      <w:b w:val="0"/>
      <w:color w:val="000000"/>
      <w:sz w:val="22"/>
    </w:rPr>
  </w:style>
  <w:style w:type="paragraph" w:customStyle="1" w:styleId="Subtitle">
    <w:name w:val="Subtitle"/>
    <w:pPr>
      <w:widowControl/>
      <w:spacing w:after="120" w:line="264" w:lineRule="auto"/>
    </w:pPr>
    <w:rPr>
      <w:rFonts w:ascii="Calibri" w:hAnsi="Calibri"/>
      <w:b w:val="0"/>
      <w:color w:val="2F5496"/>
      <w:sz w:val="28"/>
    </w:rPr>
  </w:style>
  <w:style w:type="paragraph" w:customStyle="1" w:styleId="Heading1">
    <w:name w:val="heading 1"/>
    <w:pPr>
      <w:keepNext/>
      <w:widowControl/>
      <w:spacing w:after="120" w:line="264" w:lineRule="auto" w:before="240"/>
    </w:pPr>
    <w:rPr>
      <w:rFonts w:ascii="Calibri" w:hAnsi="Calibri"/>
      <w:b/>
      <w:color w:val="1F3864"/>
      <w:sz w:val="30"/>
    </w:rPr>
  </w:style>
  <w:style w:type="paragraph" w:customStyle="1" w:styleId="Heading2">
    <w:name w:val="heading 2"/>
    <w:pPr>
      <w:keepNext/>
      <w:widowControl/>
      <w:spacing w:after="120" w:line="264" w:lineRule="auto" w:before="160"/>
    </w:pPr>
    <w:rPr>
      <w:rFonts w:ascii="Calibri" w:hAnsi="Calibri"/>
      <w:b/>
      <w:color w:val="2F5496"/>
      <w:sz w:val="24"/>
    </w:rPr>
  </w:style>
  <w:style w:type="paragraph" w:customStyle="1" w:styleId="ListBullet">
    <w:name w:val="List Bullet"/>
    <w:pPr>
      <w:widowControl/>
      <w:spacing w:after="60" w:line="264" w:lineRule="auto"/>
    </w:pPr>
    <w:rPr>
      <w:rFonts w:ascii="Calibri" w:hAnsi="Calibri"/>
      <w:b w:val="0"/>
      <w:color w:val="000000"/>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2.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 REKAAN — Uji Coba Inventaris</dc:title>
  <dc:creator>Otomasi Diskusi Lokal</dc:creator>
  <cp:lastModifiedBy>Un-named</cp:lastModifiedBy>
  <cp:revision>1</cp:revision>
  <dcterms:created xsi:type="dcterms:W3CDTF">2026-11-02T08:40:39.900Z</dcterms:created>
  <dcterms:modified xsi:type="dcterms:W3CDTF">2026-11-02T08:40:39.912Z</dcterms:modified>
  <dc:subject>Ringkasan pertemuan berbasis sumber</dc:subject>
</cp:coreProperties>
</file>

<file path=docProps/custom.xml><?xml version="1.0" encoding="utf-8"?>
<Properties xmlns="http://schemas.openxmlformats.org/officeDocument/2006/custom-properties" xmlns:vt="http://schemas.openxmlformats.org/officeDocument/2006/docPropsVTypes"/>
</file>